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2A090">
      <w:pPr>
        <w:spacing w:line="254" w:lineRule="auto"/>
        <w:jc w:val="center"/>
        <w:rPr>
          <w:rFonts w:ascii="Calibri" w:hAnsi="Calibri" w:eastAsia="Calibri" w:cs="Times New Roman"/>
          <w:b/>
          <w:color w:val="548235" w:themeColor="accent6" w:themeShade="BF"/>
          <w:sz w:val="22"/>
          <w:szCs w:val="22"/>
        </w:rPr>
      </w:pPr>
    </w:p>
    <w:p w14:paraId="60F61600">
      <w:pPr>
        <w:spacing w:line="254" w:lineRule="auto"/>
        <w:jc w:val="center"/>
        <w:rPr>
          <w:rFonts w:ascii="Calibri" w:hAnsi="Calibri" w:eastAsia="Calibri" w:cs="Times New Roman"/>
          <w:b/>
          <w:color w:val="548235" w:themeColor="accent6" w:themeShade="BF"/>
          <w:sz w:val="22"/>
          <w:szCs w:val="22"/>
        </w:rPr>
      </w:pPr>
    </w:p>
    <w:p w14:paraId="1EA496F7">
      <w:pPr>
        <w:spacing w:line="254" w:lineRule="auto"/>
        <w:jc w:val="center"/>
        <w:rPr>
          <w:rFonts w:ascii="Calibri" w:hAnsi="Calibri" w:eastAsia="Calibri" w:cs="Times New Roman"/>
          <w:b/>
          <w:color w:val="548235" w:themeColor="accent6" w:themeShade="BF"/>
          <w:sz w:val="22"/>
          <w:szCs w:val="22"/>
        </w:rPr>
      </w:pPr>
    </w:p>
    <w:p w14:paraId="15629E85">
      <w:pPr>
        <w:spacing w:line="254" w:lineRule="auto"/>
        <w:jc w:val="center"/>
        <w:rPr>
          <w:rFonts w:ascii="Calibri" w:hAnsi="Calibri" w:eastAsia="Calibri" w:cs="Times New Roman"/>
          <w:b/>
          <w:i/>
          <w:sz w:val="22"/>
          <w:szCs w:val="22"/>
        </w:rPr>
      </w:pPr>
      <w:r>
        <w:rPr>
          <w:sz w:val="22"/>
          <w:szCs w:val="22"/>
        </w:rPr>
        <w:drawing>
          <wp:anchor distT="0" distB="0" distL="114300" distR="114300" simplePos="0" relativeHeight="251659264" behindDoc="0" locked="0" layoutInCell="1" allowOverlap="1">
            <wp:simplePos x="0" y="0"/>
            <wp:positionH relativeFrom="column">
              <wp:posOffset>2539365</wp:posOffset>
            </wp:positionH>
            <wp:positionV relativeFrom="paragraph">
              <wp:posOffset>-768350</wp:posOffset>
            </wp:positionV>
            <wp:extent cx="532130" cy="508000"/>
            <wp:effectExtent l="0" t="0" r="1270" b="6350"/>
            <wp:wrapSquare wrapText="bothSides"/>
            <wp:docPr id="1" name="Picture 1" descr="CEP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PO_Logo"/>
                    <pic:cNvPicPr>
                      <a:picLocks noChangeAspect="1" noChangeArrowheads="1"/>
                    </pic:cNvPicPr>
                  </pic:nvPicPr>
                  <pic:blipFill>
                    <a:blip r:embed="rId4" cstate="print">
                      <a:extLst>
                        <a:ext uri="{28A0092B-C50C-407E-A947-70E740481C1C}">
                          <a14:useLocalDpi xmlns:a14="http://schemas.microsoft.com/office/drawing/2010/main" val="0"/>
                        </a:ext>
                      </a:extLst>
                    </a:blip>
                    <a:srcRect l="13344" t="5479" r="11523" b="11871"/>
                    <a:stretch>
                      <a:fillRect/>
                    </a:stretch>
                  </pic:blipFill>
                  <pic:spPr>
                    <a:xfrm>
                      <a:off x="0" y="0"/>
                      <a:ext cx="532130" cy="508000"/>
                    </a:xfrm>
                    <a:prstGeom prst="rect">
                      <a:avLst/>
                    </a:prstGeom>
                    <a:noFill/>
                  </pic:spPr>
                </pic:pic>
              </a:graphicData>
            </a:graphic>
          </wp:anchor>
        </w:drawing>
      </w:r>
      <w:r>
        <w:rPr>
          <w:rFonts w:ascii="Calibri" w:hAnsi="Calibri" w:eastAsia="Calibri" w:cs="Times New Roman"/>
          <w:b/>
          <w:color w:val="548235" w:themeColor="accent6" w:themeShade="BF"/>
          <w:sz w:val="22"/>
          <w:szCs w:val="22"/>
        </w:rPr>
        <w:t>The Republic of Sout</w:t>
      </w:r>
      <w:r>
        <w:rPr>
          <w:rFonts w:ascii="Calibri" w:hAnsi="Calibri" w:eastAsia="Calibri" w:cs="Times New Roman"/>
          <w:b/>
          <w:color w:val="548235" w:themeColor="accent6" w:themeShade="BF"/>
          <w:sz w:val="22"/>
          <w:szCs w:val="22"/>
          <w:lang w:val="en-US"/>
        </w:rPr>
        <w:t>h</w:t>
      </w:r>
      <w:r>
        <w:rPr>
          <w:rFonts w:ascii="Calibri" w:hAnsi="Calibri" w:eastAsia="Calibri" w:cs="Times New Roman"/>
          <w:b/>
          <w:color w:val="548235" w:themeColor="accent6" w:themeShade="BF"/>
          <w:sz w:val="22"/>
          <w:szCs w:val="22"/>
        </w:rPr>
        <w:t xml:space="preserve">  </w:t>
      </w:r>
      <w:r>
        <w:rPr>
          <w:rFonts w:ascii="Calibri" w:hAnsi="Calibri" w:eastAsia="Calibri" w:cs="Times New Roman"/>
          <w:b/>
          <w:color w:val="548235" w:themeColor="accent6" w:themeShade="BF"/>
          <w:sz w:val="22"/>
          <w:szCs w:val="22"/>
          <w:lang w:val="en-US"/>
        </w:rPr>
        <w:t>Sudan</w:t>
      </w:r>
      <w:r>
        <w:rPr>
          <w:rFonts w:ascii="Calibri" w:hAnsi="Calibri" w:eastAsia="Calibri" w:cs="Times New Roman"/>
          <w:b/>
          <w:color w:val="548235" w:themeColor="accent6" w:themeShade="BF"/>
          <w:sz w:val="22"/>
          <w:szCs w:val="22"/>
        </w:rPr>
        <w:t xml:space="preserve">                                </w:t>
      </w:r>
      <w:r>
        <w:rPr>
          <w:rFonts w:ascii="Calibri" w:hAnsi="Calibri" w:eastAsia="Calibri" w:cs="Times New Roman"/>
          <w:b/>
          <w:sz w:val="22"/>
          <w:szCs w:val="22"/>
        </w:rPr>
        <w:t xml:space="preserve">               </w:t>
      </w:r>
      <w:bookmarkStart w:id="0" w:name="_GoBack"/>
      <w:bookmarkEnd w:id="0"/>
      <w:r>
        <w:rPr>
          <w:rFonts w:ascii="Calibri" w:hAnsi="Calibri" w:eastAsia="Calibri" w:cs="Times New Roman"/>
          <w:b/>
          <w:sz w:val="22"/>
          <w:szCs w:val="22"/>
        </w:rPr>
        <w:t xml:space="preserve">                                                                                                   </w:t>
      </w:r>
      <w:r>
        <w:rPr>
          <w:rFonts w:ascii="Calibri" w:hAnsi="Calibri" w:eastAsia="Calibri" w:cs="Times New Roman"/>
          <w:b/>
          <w:i/>
          <w:color w:val="548235" w:themeColor="accent6" w:themeShade="BF"/>
          <w:sz w:val="22"/>
          <w:szCs w:val="22"/>
        </w:rPr>
        <w:t>Juba</w:t>
      </w:r>
    </w:p>
    <w:p w14:paraId="729AD82B">
      <w:pPr>
        <w:spacing w:line="254" w:lineRule="auto"/>
        <w:jc w:val="center"/>
        <w:rPr>
          <w:rFonts w:ascii="Calibri" w:hAnsi="Calibri" w:eastAsia="Calibri" w:cs="Times New Roman"/>
          <w:b/>
          <w:sz w:val="22"/>
          <w:szCs w:val="22"/>
        </w:rPr>
      </w:pPr>
    </w:p>
    <w:p w14:paraId="70293F11">
      <w:pPr>
        <w:spacing w:line="254" w:lineRule="auto"/>
        <w:ind w:firstLine="1761" w:firstLineChars="800"/>
        <w:jc w:val="both"/>
        <w:rPr>
          <w:rFonts w:hint="default" w:ascii="Calibri" w:hAnsi="Calibri" w:eastAsia="Calibri" w:cs="Times New Roman"/>
          <w:b/>
          <w:i/>
          <w:sz w:val="22"/>
          <w:szCs w:val="22"/>
          <w:lang w:val="en-US"/>
        </w:rPr>
      </w:pPr>
      <w:r>
        <w:rPr>
          <w:rFonts w:ascii="Calibri" w:hAnsi="Calibri" w:eastAsia="Calibri" w:cs="Times New Roman"/>
          <w:b/>
          <w:sz w:val="22"/>
          <w:szCs w:val="22"/>
        </w:rPr>
        <w:t>Community Empowerment for Progress Organization</w:t>
      </w:r>
      <w:r>
        <w:rPr>
          <w:rFonts w:hint="default" w:ascii="Calibri" w:hAnsi="Calibri" w:eastAsia="Calibri" w:cs="Times New Roman"/>
          <w:b/>
          <w:sz w:val="22"/>
          <w:szCs w:val="22"/>
          <w:lang w:val="en-US"/>
        </w:rPr>
        <w:t xml:space="preserve"> CEPO</w:t>
      </w:r>
    </w:p>
    <w:p w14:paraId="79655D3E">
      <w:pPr>
        <w:tabs>
          <w:tab w:val="center" w:pos="4680"/>
        </w:tabs>
        <w:spacing w:line="254" w:lineRule="auto"/>
        <w:jc w:val="center"/>
        <w:rPr>
          <w:rFonts w:ascii="Calibri" w:hAnsi="Calibri" w:eastAsia="Calibri" w:cs="Times New Roman"/>
          <w:b/>
          <w:sz w:val="20"/>
          <w:szCs w:val="20"/>
        </w:rPr>
      </w:pPr>
    </w:p>
    <w:p w14:paraId="40B70D48">
      <w:pPr>
        <w:jc w:val="center"/>
        <w:rPr>
          <w:rFonts w:ascii="Calibri" w:hAnsi="Calibri" w:eastAsia="Calibri" w:cs="Times New Roman"/>
          <w:b/>
          <w:i/>
          <w:sz w:val="18"/>
          <w:szCs w:val="18"/>
        </w:rPr>
      </w:pPr>
      <w:r>
        <w:rPr>
          <w:rFonts w:hint="default" w:ascii="Calibri" w:hAnsi="Calibri" w:eastAsia="Calibri" w:cs="Times New Roman"/>
          <w:b/>
          <w:sz w:val="20"/>
          <w:szCs w:val="20"/>
          <w:lang w:val="en-US"/>
        </w:rPr>
        <w:t xml:space="preserve">                                                    </w:t>
      </w:r>
      <w:r>
        <w:rPr>
          <w:rFonts w:ascii="Calibri" w:hAnsi="Calibri" w:eastAsia="Calibri" w:cs="Times New Roman"/>
          <w:b/>
          <w:sz w:val="20"/>
          <w:szCs w:val="20"/>
        </w:rPr>
        <w:t xml:space="preserve">Email: </w:t>
      </w:r>
      <w:r>
        <w:fldChar w:fldCharType="begin"/>
      </w:r>
      <w:r>
        <w:instrText xml:space="preserve"> HYPERLINK "mailto:ceposouthsudan@gmail.com" </w:instrText>
      </w:r>
      <w:r>
        <w:fldChar w:fldCharType="separate"/>
      </w:r>
      <w:r>
        <w:rPr>
          <w:rFonts w:ascii="Calibri" w:hAnsi="Calibri" w:eastAsia="Calibri" w:cs="Times New Roman"/>
          <w:color w:val="0000FF"/>
          <w:sz w:val="20"/>
          <w:szCs w:val="20"/>
          <w:u w:val="single"/>
        </w:rPr>
        <w:t>ceposouthsudan@gmail.com</w:t>
      </w:r>
      <w:r>
        <w:rPr>
          <w:rFonts w:ascii="Calibri" w:hAnsi="Calibri" w:eastAsia="Calibri" w:cs="Times New Roman"/>
          <w:color w:val="0000FF"/>
          <w:sz w:val="20"/>
          <w:szCs w:val="20"/>
          <w:u w:val="single"/>
        </w:rPr>
        <w:fldChar w:fldCharType="end"/>
      </w:r>
      <w:r>
        <w:rPr>
          <w:rFonts w:ascii="Calibri" w:hAnsi="Calibri" w:eastAsia="Calibri" w:cs="Times New Roman"/>
          <w:b/>
          <w:sz w:val="20"/>
          <w:szCs w:val="20"/>
        </w:rPr>
        <w:t xml:space="preserve">   </w:t>
      </w:r>
      <w:r>
        <w:rPr>
          <w:rFonts w:ascii="Calibri" w:hAnsi="Calibri" w:eastAsia="Calibri" w:cs="Times New Roman"/>
          <w:b/>
          <w:i/>
        </w:rPr>
        <w:t xml:space="preserve">                    </w:t>
      </w:r>
      <w:r>
        <w:rPr>
          <w:rFonts w:ascii="Calibri" w:hAnsi="Calibri" w:eastAsia="Calibri" w:cs="Times New Roman"/>
          <w:b/>
          <w:i/>
          <w:sz w:val="20"/>
          <w:szCs w:val="20"/>
        </w:rPr>
        <w:t xml:space="preserve">Date: </w:t>
      </w:r>
      <w:r>
        <w:rPr>
          <w:rFonts w:ascii="Calibri" w:hAnsi="Calibri" w:eastAsia="Calibri" w:cs="Times New Roman"/>
          <w:b/>
          <w:i/>
          <w:sz w:val="20"/>
          <w:szCs w:val="20"/>
          <w:lang w:val="en-US"/>
        </w:rPr>
        <w:t>30</w:t>
      </w:r>
      <w:r>
        <w:rPr>
          <w:rFonts w:ascii="Calibri" w:hAnsi="Calibri" w:eastAsia="Calibri" w:cs="Times New Roman"/>
          <w:b/>
          <w:i/>
          <w:sz w:val="20"/>
          <w:szCs w:val="20"/>
          <w:vertAlign w:val="superscript"/>
          <w:lang w:val="en-US"/>
        </w:rPr>
        <w:t>th</w:t>
      </w:r>
      <w:r>
        <w:rPr>
          <w:rFonts w:ascii="Calibri" w:hAnsi="Calibri" w:eastAsia="Calibri" w:cs="Times New Roman"/>
          <w:b/>
          <w:i/>
          <w:sz w:val="20"/>
          <w:szCs w:val="20"/>
          <w:lang w:val="en-US"/>
        </w:rPr>
        <w:t xml:space="preserve"> May</w:t>
      </w:r>
      <w:r>
        <w:rPr>
          <w:rFonts w:ascii="Calibri" w:hAnsi="Calibri" w:eastAsia="Calibri" w:cs="Times New Roman"/>
          <w:b/>
          <w:i/>
          <w:sz w:val="20"/>
          <w:szCs w:val="20"/>
        </w:rPr>
        <w:t>.  202</w:t>
      </w:r>
      <w:r>
        <w:rPr>
          <w:rFonts w:ascii="Calibri" w:hAnsi="Calibri" w:eastAsia="Calibri" w:cs="Times New Roman"/>
          <w:b/>
          <w:i/>
          <w:sz w:val="20"/>
          <w:szCs w:val="20"/>
          <w:lang w:val="en-US"/>
        </w:rPr>
        <w:t>5</w:t>
      </w:r>
    </w:p>
    <w:p w14:paraId="2C3F3605">
      <w:pPr>
        <w:rPr>
          <w:b/>
          <w:bCs/>
          <w:i/>
          <w:iCs/>
          <w:lang w:val="en-US"/>
        </w:rPr>
      </w:pPr>
    </w:p>
    <w:p w14:paraId="3A5A2378">
      <w:pPr>
        <w:ind w:left="3600"/>
        <w:rPr>
          <w:b/>
          <w:bCs/>
          <w:i/>
          <w:iCs/>
          <w:lang w:val="en-US"/>
        </w:rPr>
      </w:pPr>
    </w:p>
    <w:p w14:paraId="72F98332">
      <w:pPr>
        <w:ind w:left="3600"/>
        <w:rPr>
          <w:b/>
          <w:bCs/>
          <w:i/>
          <w:iCs/>
          <w:lang w:val="en-US"/>
        </w:rPr>
      </w:pPr>
      <w:r>
        <w:rPr>
          <w:b/>
          <w:bCs/>
          <w:i/>
          <w:iCs/>
          <w:lang w:val="en-US"/>
        </w:rPr>
        <w:t>Press Release</w:t>
      </w:r>
    </w:p>
    <w:p w14:paraId="5033DF3A">
      <w:pPr>
        <w:rPr>
          <w:b/>
          <w:bCs/>
          <w:i/>
          <w:iCs/>
          <w:lang w:val="en-US"/>
        </w:rPr>
      </w:pPr>
    </w:p>
    <w:p w14:paraId="21FF9728">
      <w:pPr>
        <w:rPr>
          <w:lang w:val="en-US"/>
        </w:rPr>
      </w:pPr>
    </w:p>
    <w:p w14:paraId="7F94FAB7">
      <w:pPr>
        <w:jc w:val="center"/>
        <w:rPr>
          <w:b/>
          <w:bCs/>
          <w:u w:val="single"/>
          <w:lang w:val="en-US"/>
        </w:rPr>
      </w:pPr>
      <w:r>
        <w:rPr>
          <w:b/>
          <w:bCs/>
          <w:u w:val="single"/>
          <w:lang w:val="en-US"/>
        </w:rPr>
        <w:t>Lack of adherence from South Sudan Peace Partners to the Periodic Reports of RJMEC made the political transitional process not progressive</w:t>
      </w:r>
    </w:p>
    <w:p w14:paraId="6044AD55">
      <w:pPr>
        <w:jc w:val="center"/>
        <w:rPr>
          <w:b/>
          <w:bCs/>
          <w:u w:val="single"/>
          <w:lang w:val="en-US"/>
        </w:rPr>
      </w:pPr>
    </w:p>
    <w:p w14:paraId="24B3A47B">
      <w:pPr>
        <w:jc w:val="both"/>
        <w:rPr>
          <w:lang w:val="en-US"/>
        </w:rPr>
      </w:pPr>
      <w:r>
        <w:rPr>
          <w:b/>
          <w:bCs/>
          <w:i/>
          <w:iCs/>
          <w:lang w:val="en-US"/>
        </w:rPr>
        <w:t>Juba 29</w:t>
      </w:r>
      <w:r>
        <w:rPr>
          <w:b/>
          <w:bCs/>
          <w:i/>
          <w:iCs/>
          <w:vertAlign w:val="superscript"/>
          <w:lang w:val="en-US"/>
        </w:rPr>
        <w:t>th</w:t>
      </w:r>
      <w:r>
        <w:rPr>
          <w:b/>
          <w:bCs/>
          <w:i/>
          <w:iCs/>
          <w:lang w:val="en-US"/>
        </w:rPr>
        <w:t xml:space="preserve"> May, 2025</w:t>
      </w:r>
      <w:r>
        <w:rPr>
          <w:lang w:val="en-US"/>
        </w:rPr>
        <w:t>: CEPO conducted desk review of the South Sudan parties political pledge for transitioning the situation from violence to peace. Our desk review was mainly focusing on parties’ compliances or non-compliance with RJMEC periodic reports for the period from 2019-2024 (6 years) on the status of R-ARCSS implementation. The desk review was for the period of 2 months (January-February, 2025). Below are our key findings of the desk review;</w:t>
      </w:r>
    </w:p>
    <w:p w14:paraId="2AA0365B">
      <w:pPr>
        <w:pStyle w:val="4"/>
        <w:numPr>
          <w:ilvl w:val="0"/>
          <w:numId w:val="1"/>
        </w:numPr>
        <w:jc w:val="both"/>
        <w:rPr>
          <w:lang w:val="en-US"/>
        </w:rPr>
      </w:pPr>
      <w:r>
        <w:rPr>
          <w:lang w:val="en-US"/>
        </w:rPr>
        <w:t xml:space="preserve">The mechanism of the presidency played very low role in demonstrating compliances with RJMEC periodic reports due to the distrust among the member of the mechanism </w:t>
      </w:r>
    </w:p>
    <w:p w14:paraId="381A4F7C">
      <w:pPr>
        <w:pStyle w:val="4"/>
        <w:numPr>
          <w:ilvl w:val="0"/>
          <w:numId w:val="1"/>
        </w:numPr>
        <w:jc w:val="both"/>
        <w:rPr>
          <w:lang w:val="en-US"/>
        </w:rPr>
      </w:pPr>
      <w:r>
        <w:rPr>
          <w:lang w:val="en-US"/>
        </w:rPr>
        <w:t xml:space="preserve">The National Transitional Committee (NTC) downplay the RJMEC reports recommendations mostly for the last 6 years  </w:t>
      </w:r>
    </w:p>
    <w:p w14:paraId="436A410F">
      <w:pPr>
        <w:pStyle w:val="4"/>
        <w:numPr>
          <w:ilvl w:val="0"/>
          <w:numId w:val="1"/>
        </w:numPr>
        <w:jc w:val="both"/>
        <w:rPr>
          <w:lang w:val="en-US"/>
        </w:rPr>
      </w:pPr>
      <w:r>
        <w:rPr>
          <w:lang w:val="en-US"/>
        </w:rPr>
        <w:t xml:space="preserve">The civil society advocacy and lobby on the party’s adherence with RJMEC reports was totally undermined by the leadership of the parties signatories to R-ARCSS </w:t>
      </w:r>
    </w:p>
    <w:p w14:paraId="32DD60BC">
      <w:pPr>
        <w:pStyle w:val="4"/>
        <w:numPr>
          <w:ilvl w:val="0"/>
          <w:numId w:val="1"/>
        </w:num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The revitalized National Transitional Legislative Assembly was not effectively engaged in providing oversight national legislative role in encouraging the executive organ of the government of national unity to adhere to the periodic reports of RJMEC </w:t>
      </w:r>
    </w:p>
    <w:p w14:paraId="0C4C0652">
      <w:pPr>
        <w:pStyle w:val="4"/>
        <w:numPr>
          <w:ilvl w:val="0"/>
          <w:numId w:val="1"/>
        </w:num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Some of the political parties’ signatories to the R-ARCSS lacks institutional approach for reflection on the RJMEC periodic reports </w:t>
      </w:r>
    </w:p>
    <w:p w14:paraId="4A4930BA">
      <w:pPr>
        <w:pStyle w:val="4"/>
        <w:numPr>
          <w:ilvl w:val="0"/>
          <w:numId w:val="1"/>
        </w:num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All the political parties’ signatories to R-ARCSS worsen a lot of time on internal power struggle engagement more than their required efforts for implementing the pending tasks of R-ARCSS </w:t>
      </w:r>
    </w:p>
    <w:p w14:paraId="4BD7C4A4">
      <w:pPr>
        <w:pStyle w:val="4"/>
        <w:numPr>
          <w:ilvl w:val="0"/>
          <w:numId w:val="1"/>
        </w:num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The top leadership of the parties to R-ARCSS been effectively taken up with matters of deficit in trust and confidence among themselves more than focusing on compliance with reports of RJMEC </w:t>
      </w:r>
    </w:p>
    <w:p w14:paraId="145815F2">
      <w:pPr>
        <w:pStyle w:val="4"/>
        <w:numPr>
          <w:ilvl w:val="0"/>
          <w:numId w:val="1"/>
        </w:num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Majority of the influential representative of the parties to R-ARCSS are less informed about the role of RJMEC and made them to underestimate the importance of RJMEC reports </w:t>
      </w:r>
    </w:p>
    <w:p w14:paraId="36381684">
      <w:pPr>
        <w:jc w:val="both"/>
        <w:rPr>
          <w:b/>
          <w:bCs/>
          <w:i/>
          <w:iCs/>
          <w:lang w:val="en-US"/>
        </w:rPr>
      </w:pPr>
      <w:r>
        <w:rPr>
          <w:b/>
          <w:bCs/>
          <w:i/>
          <w:iCs/>
          <w:lang w:val="en-US"/>
        </w:rPr>
        <w:t xml:space="preserve">CEPO strongly recommended that the presidency, National Transitional Committee and leadership of the parties to R-ARCSS should take the periodic reports of RJMEC serious for the success of the political transitional process </w:t>
      </w:r>
    </w:p>
    <w:p w14:paraId="2B371F19">
      <w:pPr>
        <w:jc w:val="both"/>
        <w:rPr>
          <w:b/>
          <w:bCs/>
          <w:i/>
          <w:iCs/>
          <w:lang w:val="en-US"/>
        </w:rPr>
      </w:pPr>
      <w:r>
        <w:rPr>
          <w:b/>
          <w:bCs/>
          <w:i/>
          <w:iCs/>
          <w:lang w:val="en-US"/>
        </w:rPr>
        <w:t xml:space="preserve"> </w:t>
      </w:r>
    </w:p>
    <w:p w14:paraId="6E0B1C9B">
      <w:pPr>
        <w:jc w:val="both"/>
        <w:rPr>
          <w:b/>
          <w:bCs/>
          <w:i/>
          <w:iCs/>
          <w:lang w:val="en-US"/>
        </w:rPr>
      </w:pPr>
      <w:r>
        <w:rPr>
          <w:b/>
          <w:bCs/>
          <w:i/>
          <w:iCs/>
          <w:lang w:val="en-US"/>
        </w:rPr>
        <w:t xml:space="preserve">In conclusion, </w:t>
      </w:r>
    </w:p>
    <w:p w14:paraId="28F0B0E9">
      <w:pPr>
        <w:jc w:val="both"/>
        <w:rPr>
          <w:lang w:val="en-US"/>
        </w:rPr>
      </w:pPr>
      <w:r>
        <w:rPr>
          <w:lang w:val="en-US"/>
        </w:rPr>
        <w:t xml:space="preserve">CEPO confirms that reports of RJMEC has not been taken serious by the parties to R-ARCSS although the representatives of the parties to R-ARCSS get proper orientation by RJMEC on the report content and they do attend direct deliberations of RJMEC leadership presentation of their reports. It is essential that the parties to RJMEC should improve their level of compliance with RJMEC reports recommendations implementation. The periodic reports of RJMEC contained essential findings and concrete recommendations if the presidency, national transitional committee and the parties could have adhered to them.   </w:t>
      </w: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7192F"/>
    <w:multiLevelType w:val="multilevel"/>
    <w:tmpl w:val="5517192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CF"/>
    <w:rsid w:val="000F7A14"/>
    <w:rsid w:val="006B5F18"/>
    <w:rsid w:val="00963B93"/>
    <w:rsid w:val="00B81F2C"/>
    <w:rsid w:val="00BB2699"/>
    <w:rsid w:val="00DE44CF"/>
    <w:rsid w:val="38DE5F1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493</Words>
  <Characters>2811</Characters>
  <Lines>23</Lines>
  <Paragraphs>6</Paragraphs>
  <TotalTime>3</TotalTime>
  <ScaleCrop>false</ScaleCrop>
  <LinksUpToDate>false</LinksUpToDate>
  <CharactersWithSpaces>3298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2025-05-27T05:10:00Z</dcterms:created>
  <dc:creator>Microsoft Office User</dc:creator>
  <cp:lastModifiedBy>Rufina isaac</cp:lastModifiedBy>
  <dcterms:modified xsi:type="dcterms:W3CDTF">2025-05-30T06:27:44Z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EEF378AE7FFF456EA446405B5612F8E6_12</vt:lpwstr>
  </property>
</Properties>
</file>