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F2AAF">
      <w:pPr>
        <w:jc w:val="center"/>
        <w:rPr>
          <w:b/>
          <w:bCs/>
          <w:sz w:val="56"/>
          <w:szCs w:val="56"/>
          <w:lang w:val="en-US"/>
        </w:rPr>
      </w:pPr>
      <w:r>
        <w:rPr>
          <w:b/>
          <w:bCs/>
          <w:sz w:val="56"/>
          <w:szCs w:val="56"/>
        </w:rPr>
        <w:t>Citizens Peace Council</w:t>
      </w:r>
      <w:r>
        <w:rPr>
          <w:b/>
          <w:bCs/>
          <w:sz w:val="56"/>
          <w:szCs w:val="56"/>
          <w:lang w:val="en-US"/>
        </w:rPr>
        <w:t xml:space="preserve"> (CPC)</w:t>
      </w:r>
    </w:p>
    <w:p w14:paraId="1EC038D3">
      <w:pPr>
        <w:rPr>
          <w:b/>
          <w:bCs/>
          <w:lang w:val="en-US"/>
        </w:rPr>
      </w:pPr>
    </w:p>
    <w:p w14:paraId="290842D5">
      <w:pPr>
        <w:rPr>
          <w:b/>
          <w:bCs/>
          <w:lang w:val="en-US"/>
        </w:rPr>
      </w:pPr>
      <w:r>
        <w:rPr>
          <w:b/>
          <w:bCs/>
          <w:lang w:val="en-US"/>
        </w:rPr>
        <w:t>Press Release</w:t>
      </w:r>
    </w:p>
    <w:p w14:paraId="6B31DE10">
      <w:pPr>
        <w:rPr>
          <w:b/>
          <w:bCs/>
          <w:lang w:val="en-US"/>
        </w:rPr>
      </w:pPr>
      <w:r>
        <w:rPr>
          <w:b/>
          <w:bCs/>
          <w:lang w:val="en-US"/>
        </w:rPr>
        <w:t>6</w:t>
      </w:r>
      <w:r>
        <w:rPr>
          <w:b/>
          <w:bCs/>
          <w:vertAlign w:val="superscript"/>
          <w:lang w:val="en-US"/>
        </w:rPr>
        <w:t>th</w:t>
      </w:r>
      <w:r>
        <w:rPr>
          <w:b/>
          <w:bCs/>
          <w:lang w:val="en-US"/>
        </w:rPr>
        <w:t xml:space="preserve"> October, 2026                                                                                                    </w:t>
      </w:r>
      <w:r>
        <w:rPr>
          <w:lang w:val="en-US"/>
        </w:rPr>
        <w:t xml:space="preserve">Community Empowerment for Progress Organization (CEPO) is </w:t>
      </w:r>
      <w:r>
        <w:rPr>
          <w:rFonts w:hint="default"/>
          <w:lang w:val="en-US"/>
        </w:rPr>
        <w:t>please</w:t>
      </w:r>
      <w:r>
        <w:rPr>
          <w:lang w:val="en-US"/>
        </w:rPr>
        <w:t xml:space="preserve"> </w:t>
      </w:r>
      <w:r>
        <w:rPr>
          <w:rFonts w:hint="default"/>
          <w:lang w:val="en-US"/>
        </w:rPr>
        <w:t>to</w:t>
      </w:r>
      <w:r>
        <w:rPr>
          <w:lang w:val="en-US"/>
        </w:rPr>
        <w:t xml:space="preserve"> inform the public </w:t>
      </w:r>
      <w:r>
        <w:rPr>
          <w:rFonts w:hint="default"/>
          <w:lang w:val="en-US"/>
        </w:rPr>
        <w:t>about</w:t>
      </w:r>
      <w:bookmarkStart w:id="0" w:name="_GoBack"/>
      <w:bookmarkEnd w:id="0"/>
      <w:r>
        <w:rPr>
          <w:lang w:val="en-US"/>
        </w:rPr>
        <w:t xml:space="preserve"> effective engagement on the initiative of the Citizen’s Talk for Peace for a period of two year in partnership with other actors such as UNMISS and others, We are hereby informing the public that we will be establishing institutional structure for sustaining and strengthening the implementation of the outcomes of the Citizens’ Talk for Peace. The institutional structure is called </w:t>
      </w:r>
      <w:r>
        <w:rPr>
          <w:b/>
          <w:bCs/>
          <w:lang w:val="en-US"/>
        </w:rPr>
        <w:t>“Citizens Peace Council-CPC”</w:t>
      </w:r>
      <w:r>
        <w:rPr>
          <w:lang w:val="en-US"/>
        </w:rPr>
        <w:t xml:space="preserve">  </w:t>
      </w:r>
      <w:r>
        <w:rPr>
          <w:b/>
          <w:bCs/>
          <w:lang w:val="en-US"/>
        </w:rPr>
        <w:t xml:space="preserve">   </w:t>
      </w:r>
    </w:p>
    <w:p w14:paraId="28DA3642">
      <w:pPr>
        <w:jc w:val="both"/>
        <w:rPr>
          <w:b/>
          <w:bCs/>
          <w:lang w:val="en-US"/>
        </w:rPr>
      </w:pPr>
    </w:p>
    <w:p w14:paraId="157AB4ED">
      <w:pPr>
        <w:jc w:val="both"/>
        <w:rPr>
          <w:lang w:val="en-US" w:eastAsia="en-GB"/>
        </w:rPr>
      </w:pPr>
      <w:r>
        <w:rPr>
          <w:b/>
          <w:bCs/>
        </w:rPr>
        <w:t>Citizens Peace Council</w:t>
      </w:r>
      <w:r>
        <w:rPr>
          <w:lang w:eastAsia="en-GB"/>
        </w:rPr>
        <w:t xml:space="preserve"> </w:t>
      </w:r>
      <w:r>
        <w:rPr>
          <w:b/>
          <w:bCs/>
          <w:lang w:val="en-US" w:eastAsia="en-GB"/>
        </w:rPr>
        <w:t>(CPC)</w:t>
      </w:r>
      <w:r>
        <w:rPr>
          <w:lang w:val="en-US" w:eastAsia="en-GB"/>
        </w:rPr>
        <w:t xml:space="preserve"> </w:t>
      </w:r>
      <w:r>
        <w:rPr>
          <w:lang w:eastAsia="en-GB"/>
        </w:rPr>
        <w:t xml:space="preserve">is a </w:t>
      </w:r>
      <w:r>
        <w:rPr>
          <w:lang w:val="en-US" w:eastAsia="en-GB"/>
        </w:rPr>
        <w:t xml:space="preserve">citizens -centered and </w:t>
      </w:r>
      <w:r>
        <w:rPr>
          <w:lang w:eastAsia="en-GB"/>
        </w:rPr>
        <w:t>grassroots, non-partisan body formed by community members to prevent localized violence, manage disputes, and build social cohesion.</w:t>
      </w:r>
      <w:r>
        <w:rPr>
          <w:lang w:val="en-US" w:eastAsia="en-GB"/>
        </w:rPr>
        <w:t xml:space="preserve"> CPC was formation was triggered by the raise in the deadly armed and political motivated violence across the country.  </w:t>
      </w:r>
    </w:p>
    <w:p w14:paraId="3CDAC6F8">
      <w:pPr>
        <w:jc w:val="both"/>
        <w:rPr>
          <w:lang w:val="en-US" w:eastAsia="en-GB"/>
        </w:rPr>
      </w:pPr>
    </w:p>
    <w:p w14:paraId="6B461796">
      <w:pPr>
        <w:jc w:val="both"/>
        <w:rPr>
          <w:lang w:val="en-US" w:eastAsia="en-GB"/>
        </w:rPr>
      </w:pPr>
      <w:r>
        <w:rPr>
          <w:b/>
          <w:bCs/>
          <w:lang w:val="en-US" w:eastAsia="en-GB"/>
        </w:rPr>
        <w:t>CPC Vision:</w:t>
      </w:r>
      <w:r>
        <w:rPr>
          <w:lang w:val="en-US" w:eastAsia="en-GB"/>
        </w:rPr>
        <w:t xml:space="preserve"> Peaceful community attained  </w:t>
      </w:r>
    </w:p>
    <w:p w14:paraId="2EC9B723">
      <w:pPr>
        <w:rPr>
          <w:lang w:eastAsia="en-GB"/>
        </w:rPr>
      </w:pPr>
    </w:p>
    <w:p w14:paraId="798041FC">
      <w:pPr>
        <w:jc w:val="both"/>
        <w:rPr>
          <w:lang w:val="en-US" w:eastAsia="en-GB"/>
        </w:rPr>
      </w:pPr>
      <w:r>
        <w:rPr>
          <w:b/>
          <w:bCs/>
          <w:lang w:val="en-US" w:eastAsia="en-GB"/>
        </w:rPr>
        <w:t xml:space="preserve">CPC </w:t>
      </w:r>
      <w:r>
        <w:rPr>
          <w:b/>
          <w:bCs/>
          <w:lang w:eastAsia="en-GB"/>
        </w:rPr>
        <w:t>Mission Statement</w:t>
      </w:r>
      <w:r>
        <w:rPr>
          <w:b/>
          <w:bCs/>
          <w:lang w:val="en-US" w:eastAsia="en-GB"/>
        </w:rPr>
        <w:t>:</w:t>
      </w:r>
      <w:r>
        <w:rPr>
          <w:lang w:val="en-US" w:eastAsia="en-GB"/>
        </w:rPr>
        <w:t xml:space="preserve"> </w:t>
      </w:r>
      <w:r>
        <w:rPr>
          <w:lang w:eastAsia="en-GB"/>
        </w:rPr>
        <w:t xml:space="preserve"> </w:t>
      </w:r>
      <w:r>
        <w:rPr>
          <w:lang w:val="en-US" w:eastAsia="en-GB"/>
        </w:rPr>
        <w:t>T</w:t>
      </w:r>
      <w:r>
        <w:rPr>
          <w:lang w:eastAsia="en-GB"/>
        </w:rPr>
        <w:t xml:space="preserve">o foster a culture of non-violence, facilitate open community dialogue, and provide community-led mediation to resolve local conflicts before they escalate. </w:t>
      </w:r>
    </w:p>
    <w:p w14:paraId="79EE527C">
      <w:pPr>
        <w:jc w:val="both"/>
        <w:rPr>
          <w:rFonts w:ascii="Arial" w:hAnsi="Arial" w:eastAsia="Times New Roman" w:cs="Arial"/>
          <w:b/>
          <w:bCs/>
          <w:lang w:eastAsia="en-GB"/>
        </w:rPr>
      </w:pPr>
    </w:p>
    <w:p w14:paraId="48705B47">
      <w:pPr>
        <w:rPr>
          <w:b/>
          <w:bCs/>
          <w:lang w:eastAsia="en-GB"/>
        </w:rPr>
      </w:pPr>
      <w:r>
        <w:rPr>
          <w:b/>
          <w:bCs/>
          <w:lang w:val="en-US" w:eastAsia="en-GB"/>
        </w:rPr>
        <w:t xml:space="preserve">CPC </w:t>
      </w:r>
      <w:r>
        <w:rPr>
          <w:b/>
          <w:bCs/>
          <w:lang w:eastAsia="en-GB"/>
        </w:rPr>
        <w:t>Core Objectives</w:t>
      </w:r>
    </w:p>
    <w:p w14:paraId="196AA104">
      <w:pPr>
        <w:pStyle w:val="11"/>
        <w:numPr>
          <w:ilvl w:val="0"/>
          <w:numId w:val="1"/>
        </w:numPr>
        <w:jc w:val="both"/>
        <w:rPr>
          <w:lang w:eastAsia="en-GB"/>
        </w:rPr>
      </w:pPr>
      <w:r>
        <w:rPr>
          <w:b/>
          <w:bCs/>
          <w:lang w:eastAsia="en-GB"/>
        </w:rPr>
        <w:t>Conflict Prevention:</w:t>
      </w:r>
      <w:r>
        <w:rPr>
          <w:lang w:eastAsia="en-GB"/>
        </w:rPr>
        <w:t xml:space="preserve"> Monitor community flashpoints and utilize an early warning system to de-escalate tensions.</w:t>
      </w:r>
    </w:p>
    <w:p w14:paraId="2AAFD159">
      <w:pPr>
        <w:pStyle w:val="11"/>
        <w:numPr>
          <w:ilvl w:val="0"/>
          <w:numId w:val="1"/>
        </w:numPr>
        <w:jc w:val="both"/>
        <w:rPr>
          <w:lang w:eastAsia="en-GB"/>
        </w:rPr>
      </w:pPr>
      <w:r>
        <w:rPr>
          <w:b/>
          <w:bCs/>
          <w:lang w:eastAsia="en-GB"/>
        </w:rPr>
        <w:t>Dialogue &amp; Mediation</w:t>
      </w:r>
      <w:r>
        <w:rPr>
          <w:lang w:eastAsia="en-GB"/>
        </w:rPr>
        <w:t>: Provide a safe, neutral space for marginalized groups, neighbors, or local factions to resolve disputes.</w:t>
      </w:r>
    </w:p>
    <w:p w14:paraId="35FF1455">
      <w:pPr>
        <w:pStyle w:val="11"/>
        <w:numPr>
          <w:ilvl w:val="0"/>
          <w:numId w:val="1"/>
        </w:numPr>
        <w:jc w:val="both"/>
        <w:rPr>
          <w:lang w:eastAsia="en-GB"/>
        </w:rPr>
      </w:pPr>
      <w:r>
        <w:rPr>
          <w:b/>
          <w:bCs/>
          <w:lang w:eastAsia="en-GB"/>
        </w:rPr>
        <w:t>Civic Education:</w:t>
      </w:r>
      <w:r>
        <w:rPr>
          <w:lang w:eastAsia="en-GB"/>
        </w:rPr>
        <w:t xml:space="preserve"> Educate residents on human rights, civic responsibilities, and peaceful conflict resolution strategies. </w:t>
      </w:r>
    </w:p>
    <w:p w14:paraId="420E137F">
      <w:pPr>
        <w:pStyle w:val="11"/>
        <w:numPr>
          <w:ilvl w:val="0"/>
          <w:numId w:val="1"/>
        </w:numPr>
        <w:jc w:val="both"/>
        <w:rPr>
          <w:lang w:eastAsia="en-GB"/>
        </w:rPr>
      </w:pPr>
      <w:r>
        <w:rPr>
          <w:b/>
          <w:bCs/>
          <w:lang w:val="en-US" w:eastAsia="en-GB"/>
        </w:rPr>
        <w:t>Social Contract:</w:t>
      </w:r>
      <w:r>
        <w:rPr>
          <w:lang w:val="en-US" w:eastAsia="en-GB"/>
        </w:rPr>
        <w:t xml:space="preserve"> Strengthen community efforts for holding their leaders and representative in government institutions to account for realization of peace and safety of the community </w:t>
      </w:r>
    </w:p>
    <w:p w14:paraId="5E6892DF">
      <w:pPr>
        <w:rPr>
          <w:rFonts w:ascii="Arial" w:hAnsi="Arial" w:eastAsia="Times New Roman" w:cs="Arial"/>
          <w:b/>
          <w:bCs/>
          <w:lang w:eastAsia="en-GB"/>
        </w:rPr>
      </w:pPr>
    </w:p>
    <w:p w14:paraId="1D40589E">
      <w:pPr>
        <w:jc w:val="both"/>
        <w:rPr>
          <w:rFonts w:ascii="Arial" w:hAnsi="Arial" w:eastAsia="Times New Roman" w:cs="Arial"/>
          <w:lang w:val="en-US" w:eastAsia="en-GB"/>
        </w:rPr>
      </w:pPr>
      <w:r>
        <w:rPr>
          <w:rFonts w:ascii="Arial" w:hAnsi="Arial" w:eastAsia="Times New Roman" w:cs="Arial"/>
          <w:b/>
          <w:bCs/>
          <w:lang w:val="en-US" w:eastAsia="en-GB"/>
        </w:rPr>
        <w:t>Institutionally CPC</w:t>
      </w:r>
      <w:r>
        <w:rPr>
          <w:rFonts w:ascii="Arial" w:hAnsi="Arial" w:eastAsia="Times New Roman" w:cs="Arial"/>
          <w:lang w:val="en-US" w:eastAsia="en-GB"/>
        </w:rPr>
        <w:t xml:space="preserve"> will be established at Central and States Government levels with committees at Local Government level. The CPC at the national/central government level will be compose of </w:t>
      </w:r>
      <w:r>
        <w:rPr>
          <w:rFonts w:ascii="Arial" w:hAnsi="Arial" w:eastAsia="Times New Roman" w:cs="Arial"/>
          <w:b/>
          <w:bCs/>
          <w:i/>
          <w:iCs/>
          <w:lang w:val="en-US" w:eastAsia="en-GB"/>
        </w:rPr>
        <w:t>11 Peace Councilors</w:t>
      </w:r>
      <w:r>
        <w:rPr>
          <w:rFonts w:ascii="Arial" w:hAnsi="Arial" w:eastAsia="Times New Roman" w:cs="Arial"/>
          <w:lang w:val="en-US" w:eastAsia="en-GB"/>
        </w:rPr>
        <w:t xml:space="preserve"> and </w:t>
      </w:r>
      <w:r>
        <w:rPr>
          <w:rFonts w:ascii="Arial" w:hAnsi="Arial" w:eastAsia="Times New Roman" w:cs="Arial"/>
          <w:b/>
          <w:bCs/>
          <w:i/>
          <w:iCs/>
          <w:lang w:val="en-US" w:eastAsia="en-GB"/>
        </w:rPr>
        <w:t>7 Peace Councilors</w:t>
      </w:r>
      <w:r>
        <w:rPr>
          <w:rFonts w:ascii="Arial" w:hAnsi="Arial" w:eastAsia="Times New Roman" w:cs="Arial"/>
          <w:lang w:val="en-US" w:eastAsia="en-GB"/>
        </w:rPr>
        <w:t xml:space="preserve"> at State selected on randomly on bases of their merits in the society/community. In Local Government level there will a CPC committee compose of </w:t>
      </w:r>
      <w:r>
        <w:rPr>
          <w:rFonts w:ascii="Arial" w:hAnsi="Arial" w:eastAsia="Times New Roman" w:cs="Arial"/>
          <w:b/>
          <w:bCs/>
          <w:i/>
          <w:iCs/>
          <w:lang w:val="en-US" w:eastAsia="en-GB"/>
        </w:rPr>
        <w:t>5 Peace Councilors</w:t>
      </w:r>
      <w:r>
        <w:rPr>
          <w:rFonts w:ascii="Arial" w:hAnsi="Arial" w:eastAsia="Times New Roman" w:cs="Arial"/>
          <w:lang w:val="en-US" w:eastAsia="en-GB"/>
        </w:rPr>
        <w:t xml:space="preserve"> who will be tasked to drive CPC activities  </w:t>
      </w:r>
    </w:p>
    <w:p w14:paraId="187F3C92">
      <w:pPr>
        <w:jc w:val="both"/>
      </w:pPr>
    </w:p>
    <w:sectPr>
      <w:pgSz w:w="11900" w:h="16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6A1E51"/>
    <w:multiLevelType w:val="multilevel"/>
    <w:tmpl w:val="546A1E51"/>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84F"/>
    <w:rsid w:val="005673CA"/>
    <w:rsid w:val="009C584F"/>
    <w:rsid w:val="0DFE159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zh-CN"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TML Preformatted"/>
    <w:basedOn w:val="1"/>
    <w:link w:val="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eastAsia="en-GB"/>
    </w:rPr>
  </w:style>
  <w:style w:type="character" w:styleId="5">
    <w:name w:val="Hyperlink"/>
    <w:basedOn w:val="2"/>
    <w:semiHidden/>
    <w:unhideWhenUsed/>
    <w:qFormat/>
    <w:uiPriority w:val="99"/>
    <w:rPr>
      <w:color w:val="0000FF"/>
      <w:u w:val="single"/>
    </w:rPr>
  </w:style>
  <w:style w:type="character" w:styleId="6">
    <w:name w:val="Strong"/>
    <w:basedOn w:val="2"/>
    <w:qFormat/>
    <w:uiPriority w:val="22"/>
    <w:rPr>
      <w:b/>
      <w:bCs/>
    </w:rPr>
  </w:style>
  <w:style w:type="paragraph" w:customStyle="1" w:styleId="7">
    <w:name w:val="z1qcye"/>
    <w:basedOn w:val="1"/>
    <w:qFormat/>
    <w:uiPriority w:val="0"/>
    <w:pPr>
      <w:spacing w:before="100" w:beforeAutospacing="1" w:after="100" w:afterAutospacing="1"/>
    </w:pPr>
    <w:rPr>
      <w:rFonts w:ascii="Times New Roman" w:hAnsi="Times New Roman" w:eastAsia="Times New Roman" w:cs="Times New Roman"/>
      <w:lang w:eastAsia="en-GB"/>
    </w:rPr>
  </w:style>
  <w:style w:type="character" w:customStyle="1" w:styleId="8">
    <w:name w:val="inqyif"/>
    <w:basedOn w:val="2"/>
    <w:qFormat/>
    <w:uiPriority w:val="0"/>
  </w:style>
  <w:style w:type="character" w:customStyle="1" w:styleId="9">
    <w:name w:val="HTML Preformatted Char"/>
    <w:basedOn w:val="2"/>
    <w:link w:val="4"/>
    <w:semiHidden/>
    <w:qFormat/>
    <w:uiPriority w:val="99"/>
    <w:rPr>
      <w:rFonts w:ascii="Courier New" w:hAnsi="Courier New" w:eastAsia="Times New Roman" w:cs="Courier New"/>
      <w:sz w:val="20"/>
      <w:szCs w:val="20"/>
      <w:lang w:eastAsia="en-GB"/>
    </w:rPr>
  </w:style>
  <w:style w:type="character" w:customStyle="1" w:styleId="10">
    <w:name w:val="undefined"/>
    <w:basedOn w:val="2"/>
    <w:qFormat/>
    <w:uiPriority w:val="0"/>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311</Words>
  <Characters>1813</Characters>
  <Lines>40</Lines>
  <Paragraphs>13</Paragraphs>
  <TotalTime>69</TotalTime>
  <ScaleCrop>false</ScaleCrop>
  <LinksUpToDate>false</LinksUpToDate>
  <CharactersWithSpaces>2224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2026-10-04T19:58:00Z</dcterms:created>
  <dc:creator>Microsoft Office User</dc:creator>
  <cp:lastModifiedBy>Rufina Awate</cp:lastModifiedBy>
  <dcterms:modified xsi:type="dcterms:W3CDTF">2026-10-06T07:27:38Z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eyJoZGlkIjoiZDY3Y2U4MWE1YmU3MjRjM2IwNjRiOGMwMGI2YzBjNjkifQ==</vt:lpwstr>
  </property>
  <property fmtid="{D5CDD505-2E9C-101B-9397-08002B2CF9AE}" pid="3" name="KSOProductBuildVer">
    <vt:lpwstr>1033-12.1.0.28485</vt:lpwstr>
  </property>
  <property fmtid="{D5CDD505-2E9C-101B-9397-08002B2CF9AE}" pid="4" name="ICV">
    <vt:lpwstr>AB27102CAFF848FD9CC7E6C3F09C31C6_12</vt:lpwstr>
  </property>
</Properties>
</file>